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AAF" w:rsidRPr="003B5537" w:rsidRDefault="00985897" w:rsidP="003B5537">
      <w:pPr>
        <w:pStyle w:val="aa"/>
        <w:rPr>
          <w:rFonts w:ascii="標楷體" w:eastAsia="標楷體" w:hAnsi="標楷體"/>
          <w:lang w:eastAsia="zh-TW"/>
        </w:rPr>
      </w:pPr>
      <w:r w:rsidRPr="003B5537">
        <w:rPr>
          <w:rFonts w:ascii="標楷體" w:eastAsia="標楷體" w:hAnsi="標楷體"/>
          <w:lang w:eastAsia="zh-TW"/>
        </w:rPr>
        <w:t>「</w:t>
      </w:r>
      <w:r w:rsidR="003B5537" w:rsidRPr="003B5537">
        <w:rPr>
          <w:rFonts w:ascii="標楷體" w:eastAsia="標楷體" w:hAnsi="標楷體" w:hint="eastAsia"/>
          <w:lang w:eastAsia="zh-TW"/>
        </w:rPr>
        <w:t>汽車駕駛人參加執業登記前分區測驗交通法令</w:t>
      </w:r>
      <w:r w:rsidRPr="003B5537">
        <w:rPr>
          <w:rFonts w:ascii="標楷體" w:eastAsia="標楷體" w:hAnsi="標楷體"/>
          <w:lang w:eastAsia="zh-TW"/>
        </w:rPr>
        <w:t>」</w:t>
      </w:r>
      <w:r w:rsidR="00067F4D">
        <w:rPr>
          <w:rFonts w:ascii="標楷體" w:eastAsia="標楷體" w:hAnsi="標楷體" w:hint="eastAsia"/>
          <w:lang w:eastAsia="zh-TW"/>
        </w:rPr>
        <w:t>C</w:t>
      </w:r>
      <w:bookmarkStart w:id="0" w:name="_GoBack"/>
      <w:bookmarkEnd w:id="0"/>
      <w:r w:rsidRPr="003B5537">
        <w:rPr>
          <w:rFonts w:ascii="標楷體" w:eastAsia="標楷體" w:hAnsi="標楷體"/>
          <w:lang w:eastAsia="zh-TW"/>
        </w:rPr>
        <w:t>卷</w:t>
      </w:r>
    </w:p>
    <w:tbl>
      <w:tblPr>
        <w:tblStyle w:val="a9"/>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525"/>
        <w:gridCol w:w="3061"/>
        <w:gridCol w:w="4917"/>
        <w:gridCol w:w="4071"/>
        <w:gridCol w:w="1276"/>
      </w:tblGrid>
      <w:tr w:rsidR="00B26729" w:rsidRPr="00B26729" w:rsidTr="001F1B0B">
        <w:trPr>
          <w:trHeight w:val="448"/>
        </w:trPr>
        <w:tc>
          <w:tcPr>
            <w:tcW w:w="5437" w:type="dxa"/>
            <w:gridSpan w:val="3"/>
          </w:tcPr>
          <w:p w:rsidR="0043178E" w:rsidRPr="00B26729" w:rsidRDefault="0043178E" w:rsidP="005A32D0">
            <w:pPr>
              <w:pStyle w:val="1"/>
              <w:spacing w:line="432" w:lineRule="exact"/>
              <w:ind w:left="0"/>
              <w:jc w:val="left"/>
              <w:rPr>
                <w:sz w:val="28"/>
                <w:szCs w:val="28"/>
                <w:lang w:eastAsia="zh-TW"/>
              </w:rPr>
            </w:pPr>
            <w:r w:rsidRPr="00B26729">
              <w:rPr>
                <w:rFonts w:hint="eastAsia"/>
                <w:sz w:val="28"/>
                <w:szCs w:val="28"/>
                <w:lang w:eastAsia="zh-TW"/>
              </w:rPr>
              <w:t>學號：</w:t>
            </w:r>
          </w:p>
        </w:tc>
        <w:tc>
          <w:tcPr>
            <w:tcW w:w="4917" w:type="dxa"/>
          </w:tcPr>
          <w:p w:rsidR="0043178E" w:rsidRPr="00B26729" w:rsidRDefault="0043178E" w:rsidP="005A32D0">
            <w:pPr>
              <w:pStyle w:val="1"/>
              <w:spacing w:line="432" w:lineRule="exact"/>
              <w:ind w:left="0"/>
              <w:jc w:val="left"/>
              <w:rPr>
                <w:sz w:val="28"/>
                <w:szCs w:val="28"/>
                <w:lang w:eastAsia="zh-TW"/>
              </w:rPr>
            </w:pPr>
            <w:r w:rsidRPr="00B26729">
              <w:rPr>
                <w:rFonts w:hint="eastAsia"/>
                <w:sz w:val="28"/>
                <w:szCs w:val="28"/>
                <w:lang w:eastAsia="zh-TW"/>
              </w:rPr>
              <w:t>姓名：</w:t>
            </w:r>
          </w:p>
        </w:tc>
        <w:tc>
          <w:tcPr>
            <w:tcW w:w="5347" w:type="dxa"/>
            <w:gridSpan w:val="2"/>
          </w:tcPr>
          <w:p w:rsidR="0043178E" w:rsidRPr="00B26729" w:rsidRDefault="0043178E" w:rsidP="0043178E">
            <w:pPr>
              <w:pStyle w:val="1"/>
              <w:spacing w:line="432" w:lineRule="exact"/>
              <w:ind w:left="0"/>
              <w:jc w:val="left"/>
              <w:rPr>
                <w:sz w:val="28"/>
                <w:szCs w:val="28"/>
                <w:lang w:eastAsia="zh-TW"/>
              </w:rPr>
            </w:pPr>
            <w:r w:rsidRPr="00B26729">
              <w:rPr>
                <w:sz w:val="28"/>
                <w:szCs w:val="28"/>
                <w:lang w:eastAsia="zh-TW"/>
              </w:rPr>
              <w:t>測驗梯次：</w:t>
            </w:r>
            <w:r w:rsidRPr="00B26729">
              <w:rPr>
                <w:noProof/>
                <w:sz w:val="28"/>
                <w:szCs w:val="28"/>
                <w:lang w:eastAsia="zh-TW"/>
              </w:rPr>
              <w:t>FA112041401</w:t>
            </w:r>
          </w:p>
        </w:tc>
      </w:tr>
      <w:tr w:rsidR="00B26729" w:rsidRPr="00B26729" w:rsidTr="001F1B0B">
        <w:trPr>
          <w:trHeight w:val="448"/>
        </w:trPr>
        <w:tc>
          <w:tcPr>
            <w:tcW w:w="15701" w:type="dxa"/>
            <w:gridSpan w:val="6"/>
          </w:tcPr>
          <w:p w:rsidR="0043178E" w:rsidRPr="00B26729" w:rsidRDefault="0043178E" w:rsidP="0043178E">
            <w:pPr>
              <w:pStyle w:val="1"/>
              <w:spacing w:line="432" w:lineRule="exact"/>
              <w:ind w:left="0"/>
              <w:jc w:val="left"/>
              <w:rPr>
                <w:sz w:val="28"/>
                <w:szCs w:val="28"/>
                <w:lang w:eastAsia="zh-TW"/>
              </w:rPr>
            </w:pPr>
            <w:r w:rsidRPr="00B26729">
              <w:rPr>
                <w:noProof/>
                <w:sz w:val="28"/>
                <w:szCs w:val="28"/>
                <w:lang w:eastAsia="zh-TW"/>
              </w:rPr>
              <w:t>試卷編號：TLFA112041401A</w:t>
            </w:r>
            <w:r w:rsidRPr="00B26729">
              <w:rPr>
                <w:noProof/>
                <w:sz w:val="28"/>
                <w:szCs w:val="28"/>
                <w:lang w:eastAsia="zh-TW"/>
              </w:rPr>
              <w:br/>
              <w:t>是非題（每題 2 分，對的打  Ｏ ，錯的打 Ｘ，塗改不計分）</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塗改客車車身標明之載客人數,與原核定數量不符,處汽車所有人新臺幣2,400元以上,4,800元以下罰鍰,並責令改正。</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駕駛執照吊扣期間駕車之違規,應吊銷其駕駛執照。</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汽車駕駛人駕駛汽車發生故障不能行駛,不設法移置於無礙交通之處者,應處罰鍰。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在公車招呼站10公尺內,不得停車,但可臨時停車不超過3分鐘。</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行車速度,依標誌或標線之規定,無標誌或標線者,在市區道路時速不得超過50公里,在郊區道路時速不得超過60公里。</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汽車未依規定參加定期檢驗者,逾期1個月以上者吊扣其牌照。</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汽車駕駛人駕駛汽車,行經泥濘或積水道路,不減速慢行,致污濕他人身體、衣物者處新臺幣600元以上1,800元以下罰鍰。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汽車駕駛人駕駛汽車違反道路交通安全規則,因而肇事致人受傷者,記違規點數3點。</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執業登記證應檢同國民身分證及職業駕駛執照，於每年出生月分之前後一個月內，至原發證之警察機關查驗。</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駕駛人見消防車、救護車等警號不立即避讓,應處罰鍰及記違規點數2點之處分。</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除年滿65歲者須每年換發新證至年滿70歲外，執業登記證每3年換發1次，執業登記證屆期未換發者，失其效力，計程車駕駛人應重新申請辦理執業登記，始得執業。</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轉彎車應讓直行車輛先行,但直行車尚未進入交岔路口,而轉彎車輛己達中心處開始轉彎,直行車應讓轉彎車先行。</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車輛除行駛於單行道外,均應靠右行駛,但遇有特殊情況,必須行駛左側道路時,應減速慢行,並注意前方來車及行人。</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汽車駕駛人於行駛道路時,使用手持式行動電話進行撥接或通話,處新臺幣3000元罰鍰。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汽車行駛高速公路及快速公路前，應妥為檢查車輛，在行駛途中不得有下列情形：四輪以上汽車的輪胎胎面磨損至中華民國國家標準 CNS 1431 汽車用外胎（輪胎）標準或CNS4959卡客車用翻修輪胎標準所訂之任一胎面磨耗指示點。</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汽車在隧道內遇事故時,儘可能將車輛停放於路邊設置之緊急停車彎,並開啟危險警告燈。</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汽車行駛交通阻塞之路段,除應遵守交通勤務警察指揮外,駕駛人不得以任何理由將車輛暫停或停駐路肩,以免阻礙消防車、警備車、救護車,工程車及救濟車進入現場清理或急救。</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計程車駕駛人因不依規定期限，辦理執業登記事項之異動申報，或參加年度查驗者經依規定廢止執業登記者，未滿1年不得再行辦理執業登記。</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19.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更改姓名可於辦理執業登記證時一併辦理,不受異動辦理期限為15日之限制。</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X</w:t>
            </w:r>
          </w:p>
        </w:tc>
      </w:tr>
      <w:tr w:rsidR="003316E7" w:rsidRPr="00B26729" w:rsidTr="001F1B0B">
        <w:trPr>
          <w:trHeight w:val="527"/>
        </w:trPr>
        <w:tc>
          <w:tcPr>
            <w:tcW w:w="851" w:type="dxa"/>
          </w:tcPr>
          <w:p w:rsidR="00AA4D8B" w:rsidRPr="00B26729" w:rsidRDefault="00AA4D8B" w:rsidP="0043178E">
            <w:pPr>
              <w:pStyle w:val="1"/>
              <w:spacing w:line="432" w:lineRule="exact"/>
              <w:ind w:left="0"/>
              <w:jc w:val="right"/>
              <w:rPr>
                <w:sz w:val="28"/>
                <w:szCs w:val="28"/>
                <w:lang w:eastAsia="zh-TW"/>
              </w:rPr>
            </w:pPr>
            <w:r w:rsidRPr="00B26729">
              <w:rPr>
                <w:noProof/>
                <w:sz w:val="28"/>
                <w:szCs w:val="28"/>
              </w:rPr>
              <w:t>20.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汽車的引擎設備(指引擎之機械或渦輪增壓系統、氮氣導入裝置設備)不可以變更。</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O</w:t>
            </w:r>
          </w:p>
        </w:tc>
      </w:tr>
      <w:tr w:rsidR="00B26729" w:rsidRPr="00B26729" w:rsidTr="001F1B0B">
        <w:trPr>
          <w:trHeight w:val="448"/>
        </w:trPr>
        <w:tc>
          <w:tcPr>
            <w:tcW w:w="15701" w:type="dxa"/>
            <w:gridSpan w:val="6"/>
          </w:tcPr>
          <w:p w:rsidR="0043178E" w:rsidRPr="00B26729" w:rsidRDefault="0043178E" w:rsidP="0043178E">
            <w:pPr>
              <w:pStyle w:val="1"/>
              <w:spacing w:line="432" w:lineRule="exact"/>
              <w:ind w:left="0"/>
              <w:jc w:val="left"/>
              <w:rPr>
                <w:sz w:val="28"/>
                <w:szCs w:val="28"/>
                <w:lang w:eastAsia="zh-TW"/>
              </w:rPr>
            </w:pPr>
            <w:r w:rsidRPr="00B26729">
              <w:rPr>
                <w:noProof/>
                <w:sz w:val="28"/>
                <w:szCs w:val="28"/>
                <w:lang w:eastAsia="zh-TW"/>
              </w:rPr>
              <w:t>選擇題（每題 2 分，塗改不計分）</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汽車駕駛人在轉彎或變換車道時，不注意來、往行人，或轉彎前未減速慢行者處新臺幣(1)300元以上600元以下(2)600元以上1,200元以下(3)600元以上1,800百元以下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車輛於高速公路故障時,應在故障車輛後方多少距離設置故障標誌?(1)10公尺至30公尺(2)30公尺至100公尺(3)50公尺至100公尺。</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車齡多少年以上之營業車,每年需檢驗2次?(1)3年(2)4年(3)5年。</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計程車如超越營業區營業依公路法處罰鍰外,並可扣其車輛牌照(1)1至3個月(2)3至6個月(3)6至9個月。</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計程車計費表之檢定合格有效期間為(1)1年(2)2年(3)3年。</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計程車駕駛人駕駛計程車肇事,無人受傷或死亡且車輛尚能行駛,而不儘速將車輛位置標繪移置路邊,致妨礙交通者,處新臺幣(1)600元以上1,800元以下(2)1,200元以上2,400元以下(3)1,500元以上3,000元以下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執業登記證查驗期間係以(1)出生月份(2)發證日期(3)第1次領證日期 為基準。</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最近幾年內曾依道路交通管理處罰條例受違規記點者,不准申辦個人經營計程車客運業登記(1)1</w:t>
            </w:r>
            <w:r w:rsidRPr="00B26729">
              <w:rPr>
                <w:noProof/>
                <w:sz w:val="28"/>
                <w:szCs w:val="28"/>
                <w:lang w:eastAsia="zh-TW"/>
              </w:rPr>
              <w:lastRenderedPageBreak/>
              <w:t>年(2)3年(3)5年。</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lastRenderedPageBreak/>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計程車駕駛人不依規定辦理執業登記證年度查驗,逾期幾個月以上會受廢止執業登記處分(1)3個月(2)4個月(3)6個月。</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計程車駕駛人自領得執業登記證之翌年起，應於每年(1)領證日(2)出生月份(3)受僱日,前後1個月內檢同國民身分證及職業駕駛執照，送原發證警察機關查驗。</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計程車駕駛人,任意拒載乘客或故意繞道行駛者,處新臺幣(1)300元以上600元以下(2)600元以上1,200元以下(3)600元以上1,800元以下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計程車駕駛人新領或換發執業登記證後,距年度查驗期間未滿(1)3個月(2)半年(3)9個月   者,得准予隔年再行辦理。</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汽車行駛至多車道交岔路口欲左轉彎,未利用左轉彎專用道,或未設左轉彎專用道路口,未利用內側車道轉彎者,應處新臺幣(1)600元號以上1,200元下(2)600元以上1,800元以下(3)900元以上1,800元以下 罰鍰。</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牌照借供他車使用或使用他車牌照行駛者,除罰鍰外,牌照應(1)吊扣3個月(2)吊銷(3)吊扣6個月。</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依道路交通安全規則規定,何者為汽車不得停車處所?(1)道路修理路段(2)公共場所出入口(3)二者皆是。</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汽車下列何種設備規格不得變更?(1)顏色(2)頭燈(3)方向盤位置。</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在彎道、狹路、橋樑、圓環、隧道、鐵路平交道、單行道、快車道、陡坡等危險地帶,或交通頻繁處所(1)不得倒車(2)可以倒車(3)速度減慢後始可倒車。</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經中央公路主管機關核准之非中華民國國民或法人,得申請投資經營特許之汽車運輸業,但不包括(1)小客車租賃業(2)汽車貨運業(3)計程車客運業。</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19.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汽車駕駛人,因於駕駛執照吊扣期間駕車,受吊銷駕駛執照處分,幾年內不得考領?(1)1年(2)3年(3)5年。</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下列何者非屬得不經裁決逕依基準表期限內自動繳納之規定收繳罰鍰結案之構成要件?(1)依限期到案(2)有繼續調查必要(3)行為人對舉發事實承認無訛。</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21.</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汽車駕駛人申請辦理執業登記之測驗與執業前講習及在職講習區域之劃分,由(1)交通部路政司(2)公路總局(3)內政部警政署  定之。</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22.</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下列何者為計程車駕駛人執業登記管理辦法所規定的執業事實?(1)姓名、出生年月日、國民身分證統一編號(2)職業駕駛執照(3)經營個人計程車客運業。</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23.</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計程車駕駛人之職業駕駛執照已吊銷、註銷、換領普通駕駛執照或有其他喪失職業駕駛人資格之情事時,由(1)車籍地之公路監理機關(2)戶籍地之警察機關(3)原發證之警察局 廢止其執業登記,並收繳執業登記證及其副證。</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24.</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依強制汽車責任保險法規定,發生車禍對方車輛逃逸,可否申請理賠?(1)可以(2)不可以(3)由保險公司認定。</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25.</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委託計程車客運服務業代辦業務時,應依(1)公路主管機關(2)商業主管機關(3)警察主管機關  規定之契約書範本簽訂契約。</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1</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26.</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欲登記為桃園國際機場(原中正機場)排班計程車,車齡自汽車出廠年月之次月1日起算,依規定須在(1)3年內(2)4年內(3)5年內。</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27.</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依計程車客運服務業申請核准經營辦法規定,計程車客運服務業對受託服務之車輛發生行車事故時,應協助或代為處理,其(1)民事賠償(2)刑事責任(3)以上皆是  概由委託人承擔。</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28.</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汽車行駛高速公路及快速公路,車輛行駛於設有爬坡道之長陡坡路段,其時速低於最低速限時,除有特殊狀況外,應行駛何車道,並禁止變換車道?(1)外側車道(2)中線車道(3)爬坡道。</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29.</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車輛夜間行車同向前方多少公尺內有車輛行駛,不得使用遠光燈?(1)80公尺(2)90公尺(3)100公尺。</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3</w:t>
            </w:r>
          </w:p>
        </w:tc>
      </w:tr>
      <w:tr w:rsidR="003316E7" w:rsidRPr="00B26729" w:rsidTr="001F1B0B">
        <w:trPr>
          <w:trHeight w:val="485"/>
        </w:trPr>
        <w:tc>
          <w:tcPr>
            <w:tcW w:w="851" w:type="dxa"/>
          </w:tcPr>
          <w:p w:rsidR="00AA4D8B" w:rsidRPr="00B26729" w:rsidRDefault="00AA4D8B" w:rsidP="00D91705">
            <w:pPr>
              <w:pStyle w:val="1"/>
              <w:spacing w:line="432" w:lineRule="exact"/>
              <w:ind w:left="0"/>
              <w:jc w:val="right"/>
              <w:rPr>
                <w:sz w:val="28"/>
                <w:szCs w:val="28"/>
                <w:lang w:eastAsia="zh-TW"/>
              </w:rPr>
            </w:pPr>
            <w:r w:rsidRPr="00B26729">
              <w:rPr>
                <w:noProof/>
                <w:sz w:val="28"/>
                <w:szCs w:val="28"/>
              </w:rPr>
              <w:t>30.</w:t>
            </w:r>
          </w:p>
        </w:tc>
        <w:tc>
          <w:tcPr>
            <w:tcW w:w="1525" w:type="dxa"/>
          </w:tcPr>
          <w:p w:rsidR="00AA4D8B" w:rsidRPr="00B26729" w:rsidRDefault="00AA4D8B" w:rsidP="001F1B0B">
            <w:pPr>
              <w:pStyle w:val="1"/>
              <w:spacing w:line="432" w:lineRule="exact"/>
              <w:ind w:left="0" w:rightChars="-113" w:right="-249"/>
              <w:jc w:val="left"/>
              <w:rPr>
                <w:sz w:val="28"/>
                <w:szCs w:val="28"/>
                <w:lang w:eastAsia="zh-TW"/>
              </w:rPr>
            </w:pPr>
            <w:r w:rsidRPr="00B26729">
              <w:rPr>
                <w:noProof/>
                <w:sz w:val="28"/>
                <w:szCs w:val="28"/>
              </w:rPr>
              <w:t>（ 　）</w:t>
            </w:r>
          </w:p>
        </w:tc>
        <w:tc>
          <w:tcPr>
            <w:tcW w:w="12049" w:type="dxa"/>
            <w:gridSpan w:val="3"/>
          </w:tcPr>
          <w:p w:rsidR="00AA4D8B" w:rsidRPr="00B26729" w:rsidRDefault="00AA4D8B" w:rsidP="00AA4D8B">
            <w:pPr>
              <w:pStyle w:val="1"/>
              <w:spacing w:line="432" w:lineRule="exact"/>
              <w:ind w:left="0"/>
              <w:jc w:val="left"/>
              <w:rPr>
                <w:sz w:val="28"/>
                <w:szCs w:val="28"/>
                <w:lang w:eastAsia="zh-TW"/>
              </w:rPr>
            </w:pPr>
            <w:r w:rsidRPr="00B26729">
              <w:rPr>
                <w:noProof/>
                <w:sz w:val="28"/>
                <w:szCs w:val="28"/>
                <w:lang w:eastAsia="zh-TW"/>
              </w:rPr>
              <w:t>閃光號誌之路口,東西向為閃光黃燈、南北向為閃光紅燈,以路權法則區分路權,應何者為優先(1)沒有規定(2)東西向車輛(3)南北向車輛。</w:t>
            </w:r>
          </w:p>
        </w:tc>
        <w:tc>
          <w:tcPr>
            <w:tcW w:w="1276" w:type="dxa"/>
          </w:tcPr>
          <w:p w:rsidR="00AA4D8B" w:rsidRPr="00B26729" w:rsidRDefault="00AA4D8B" w:rsidP="00115956">
            <w:pPr>
              <w:pStyle w:val="1"/>
              <w:spacing w:line="432" w:lineRule="exact"/>
              <w:ind w:left="0"/>
              <w:jc w:val="left"/>
              <w:rPr>
                <w:sz w:val="28"/>
                <w:szCs w:val="28"/>
                <w:lang w:eastAsia="zh-TW"/>
              </w:rPr>
            </w:pPr>
            <w:r w:rsidRPr="00B26729">
              <w:rPr>
                <w:noProof/>
                <w:sz w:val="28"/>
                <w:szCs w:val="28"/>
              </w:rPr>
              <w:t>2</w:t>
            </w:r>
          </w:p>
        </w:tc>
      </w:tr>
    </w:tbl>
    <w:p w:rsidR="00365F38" w:rsidRDefault="00365F38">
      <w:pPr>
        <w:rPr>
          <w:sz w:val="24"/>
          <w:szCs w:val="24"/>
          <w:lang w:eastAsia="zh-TW"/>
        </w:rPr>
      </w:pPr>
    </w:p>
    <w:sectPr w:rsidR="00365F38" w:rsidSect="00B26729">
      <w:pgSz w:w="16840" w:h="23820" w:code="8"/>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488" w:rsidRDefault="00484488" w:rsidP="00C515C2">
      <w:r>
        <w:separator/>
      </w:r>
    </w:p>
  </w:endnote>
  <w:endnote w:type="continuationSeparator" w:id="0">
    <w:p w:rsidR="00484488" w:rsidRDefault="00484488" w:rsidP="00C5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488" w:rsidRDefault="00484488" w:rsidP="00C515C2">
      <w:r>
        <w:separator/>
      </w:r>
    </w:p>
  </w:footnote>
  <w:footnote w:type="continuationSeparator" w:id="0">
    <w:p w:rsidR="00484488" w:rsidRDefault="00484488" w:rsidP="00C51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516"/>
    <w:multiLevelType w:val="hybridMultilevel"/>
    <w:tmpl w:val="899C87FE"/>
    <w:lvl w:ilvl="0" w:tplc="86225604">
      <w:start w:val="1"/>
      <w:numFmt w:val="decimal"/>
      <w:lvlText w:val="%1"/>
      <w:lvlJc w:val="left"/>
      <w:pPr>
        <w:ind w:left="2023" w:hanging="1984"/>
      </w:pPr>
      <w:rPr>
        <w:rFonts w:ascii="標楷體" w:eastAsia="標楷體" w:hAnsi="標楷體" w:cs="標楷體" w:hint="default"/>
        <w:w w:val="100"/>
        <w:sz w:val="24"/>
        <w:szCs w:val="24"/>
      </w:rPr>
    </w:lvl>
    <w:lvl w:ilvl="1" w:tplc="569044A6">
      <w:numFmt w:val="bullet"/>
      <w:lvlText w:val="•"/>
      <w:lvlJc w:val="left"/>
      <w:pPr>
        <w:ind w:left="2980" w:hanging="1984"/>
      </w:pPr>
      <w:rPr>
        <w:rFonts w:hint="default"/>
      </w:rPr>
    </w:lvl>
    <w:lvl w:ilvl="2" w:tplc="F7040242">
      <w:numFmt w:val="bullet"/>
      <w:lvlText w:val="•"/>
      <w:lvlJc w:val="left"/>
      <w:pPr>
        <w:ind w:left="3940" w:hanging="1984"/>
      </w:pPr>
      <w:rPr>
        <w:rFonts w:hint="default"/>
      </w:rPr>
    </w:lvl>
    <w:lvl w:ilvl="3" w:tplc="1FC88B78">
      <w:numFmt w:val="bullet"/>
      <w:lvlText w:val="•"/>
      <w:lvlJc w:val="left"/>
      <w:pPr>
        <w:ind w:left="4900" w:hanging="1984"/>
      </w:pPr>
      <w:rPr>
        <w:rFonts w:hint="default"/>
      </w:rPr>
    </w:lvl>
    <w:lvl w:ilvl="4" w:tplc="0824882A">
      <w:numFmt w:val="bullet"/>
      <w:lvlText w:val="•"/>
      <w:lvlJc w:val="left"/>
      <w:pPr>
        <w:ind w:left="5860" w:hanging="1984"/>
      </w:pPr>
      <w:rPr>
        <w:rFonts w:hint="default"/>
      </w:rPr>
    </w:lvl>
    <w:lvl w:ilvl="5" w:tplc="5C42BD2A">
      <w:numFmt w:val="bullet"/>
      <w:lvlText w:val="•"/>
      <w:lvlJc w:val="left"/>
      <w:pPr>
        <w:ind w:left="6820" w:hanging="1984"/>
      </w:pPr>
      <w:rPr>
        <w:rFonts w:hint="default"/>
      </w:rPr>
    </w:lvl>
    <w:lvl w:ilvl="6" w:tplc="8362DBFE">
      <w:numFmt w:val="bullet"/>
      <w:lvlText w:val="•"/>
      <w:lvlJc w:val="left"/>
      <w:pPr>
        <w:ind w:left="7780" w:hanging="1984"/>
      </w:pPr>
      <w:rPr>
        <w:rFonts w:hint="default"/>
      </w:rPr>
    </w:lvl>
    <w:lvl w:ilvl="7" w:tplc="48A65F60">
      <w:numFmt w:val="bullet"/>
      <w:lvlText w:val="•"/>
      <w:lvlJc w:val="left"/>
      <w:pPr>
        <w:ind w:left="8740" w:hanging="1984"/>
      </w:pPr>
      <w:rPr>
        <w:rFonts w:hint="default"/>
      </w:rPr>
    </w:lvl>
    <w:lvl w:ilvl="8" w:tplc="8084AFFC">
      <w:numFmt w:val="bullet"/>
      <w:lvlText w:val="•"/>
      <w:lvlJc w:val="left"/>
      <w:pPr>
        <w:ind w:left="9700" w:hanging="1984"/>
      </w:pPr>
      <w:rPr>
        <w:rFonts w:hint="default"/>
      </w:rPr>
    </w:lvl>
  </w:abstractNum>
  <w:abstractNum w:abstractNumId="1" w15:restartNumberingAfterBreak="0">
    <w:nsid w:val="150812CC"/>
    <w:multiLevelType w:val="hybridMultilevel"/>
    <w:tmpl w:val="9496E746"/>
    <w:lvl w:ilvl="0" w:tplc="104C9CFC">
      <w:start w:val="1"/>
      <w:numFmt w:val="decimal"/>
      <w:lvlText w:val="%1"/>
      <w:lvlJc w:val="left"/>
      <w:pPr>
        <w:ind w:left="2023" w:hanging="1984"/>
      </w:pPr>
      <w:rPr>
        <w:rFonts w:ascii="標楷體" w:eastAsia="標楷體" w:hAnsi="標楷體" w:cs="標楷體" w:hint="default"/>
        <w:w w:val="100"/>
        <w:sz w:val="24"/>
        <w:szCs w:val="24"/>
      </w:rPr>
    </w:lvl>
    <w:lvl w:ilvl="1" w:tplc="D6D44324">
      <w:numFmt w:val="bullet"/>
      <w:lvlText w:val="•"/>
      <w:lvlJc w:val="left"/>
      <w:pPr>
        <w:ind w:left="2980" w:hanging="1984"/>
      </w:pPr>
      <w:rPr>
        <w:rFonts w:hint="default"/>
      </w:rPr>
    </w:lvl>
    <w:lvl w:ilvl="2" w:tplc="3E50DED8">
      <w:numFmt w:val="bullet"/>
      <w:lvlText w:val="•"/>
      <w:lvlJc w:val="left"/>
      <w:pPr>
        <w:ind w:left="3940" w:hanging="1984"/>
      </w:pPr>
      <w:rPr>
        <w:rFonts w:hint="default"/>
      </w:rPr>
    </w:lvl>
    <w:lvl w:ilvl="3" w:tplc="95ECFE46">
      <w:numFmt w:val="bullet"/>
      <w:lvlText w:val="•"/>
      <w:lvlJc w:val="left"/>
      <w:pPr>
        <w:ind w:left="4900" w:hanging="1984"/>
      </w:pPr>
      <w:rPr>
        <w:rFonts w:hint="default"/>
      </w:rPr>
    </w:lvl>
    <w:lvl w:ilvl="4" w:tplc="8B1EA5AC">
      <w:numFmt w:val="bullet"/>
      <w:lvlText w:val="•"/>
      <w:lvlJc w:val="left"/>
      <w:pPr>
        <w:ind w:left="5860" w:hanging="1984"/>
      </w:pPr>
      <w:rPr>
        <w:rFonts w:hint="default"/>
      </w:rPr>
    </w:lvl>
    <w:lvl w:ilvl="5" w:tplc="4E220136">
      <w:numFmt w:val="bullet"/>
      <w:lvlText w:val="•"/>
      <w:lvlJc w:val="left"/>
      <w:pPr>
        <w:ind w:left="6820" w:hanging="1984"/>
      </w:pPr>
      <w:rPr>
        <w:rFonts w:hint="default"/>
      </w:rPr>
    </w:lvl>
    <w:lvl w:ilvl="6" w:tplc="C1D0D31E">
      <w:numFmt w:val="bullet"/>
      <w:lvlText w:val="•"/>
      <w:lvlJc w:val="left"/>
      <w:pPr>
        <w:ind w:left="7780" w:hanging="1984"/>
      </w:pPr>
      <w:rPr>
        <w:rFonts w:hint="default"/>
      </w:rPr>
    </w:lvl>
    <w:lvl w:ilvl="7" w:tplc="AC3ACA3C">
      <w:numFmt w:val="bullet"/>
      <w:lvlText w:val="•"/>
      <w:lvlJc w:val="left"/>
      <w:pPr>
        <w:ind w:left="8740" w:hanging="1984"/>
      </w:pPr>
      <w:rPr>
        <w:rFonts w:hint="default"/>
      </w:rPr>
    </w:lvl>
    <w:lvl w:ilvl="8" w:tplc="E654AEDE">
      <w:numFmt w:val="bullet"/>
      <w:lvlText w:val="•"/>
      <w:lvlJc w:val="left"/>
      <w:pPr>
        <w:ind w:left="9700" w:hanging="19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AF"/>
    <w:rsid w:val="00013F6F"/>
    <w:rsid w:val="00046592"/>
    <w:rsid w:val="00063386"/>
    <w:rsid w:val="0006413F"/>
    <w:rsid w:val="00067F4D"/>
    <w:rsid w:val="000C5FD1"/>
    <w:rsid w:val="00115956"/>
    <w:rsid w:val="0011640F"/>
    <w:rsid w:val="00123E80"/>
    <w:rsid w:val="001330B8"/>
    <w:rsid w:val="00157031"/>
    <w:rsid w:val="00183D85"/>
    <w:rsid w:val="00192787"/>
    <w:rsid w:val="001C1A95"/>
    <w:rsid w:val="001F1B0B"/>
    <w:rsid w:val="001F25CA"/>
    <w:rsid w:val="001F488E"/>
    <w:rsid w:val="00202078"/>
    <w:rsid w:val="00216B82"/>
    <w:rsid w:val="002E2EDA"/>
    <w:rsid w:val="002E7147"/>
    <w:rsid w:val="00307F9F"/>
    <w:rsid w:val="003120AA"/>
    <w:rsid w:val="003316E7"/>
    <w:rsid w:val="00365F38"/>
    <w:rsid w:val="003B5537"/>
    <w:rsid w:val="003C6EFB"/>
    <w:rsid w:val="004056C7"/>
    <w:rsid w:val="0043178E"/>
    <w:rsid w:val="00451D9E"/>
    <w:rsid w:val="00452CF7"/>
    <w:rsid w:val="00484272"/>
    <w:rsid w:val="00484488"/>
    <w:rsid w:val="00494412"/>
    <w:rsid w:val="004A33AF"/>
    <w:rsid w:val="00573016"/>
    <w:rsid w:val="005A2DB3"/>
    <w:rsid w:val="005A32D0"/>
    <w:rsid w:val="005A4ECC"/>
    <w:rsid w:val="0065081C"/>
    <w:rsid w:val="006A7A66"/>
    <w:rsid w:val="006B623E"/>
    <w:rsid w:val="006D1E09"/>
    <w:rsid w:val="006E61AC"/>
    <w:rsid w:val="00705272"/>
    <w:rsid w:val="00711484"/>
    <w:rsid w:val="00735C1B"/>
    <w:rsid w:val="00742236"/>
    <w:rsid w:val="00746AAF"/>
    <w:rsid w:val="0075247D"/>
    <w:rsid w:val="0075559D"/>
    <w:rsid w:val="00795B6F"/>
    <w:rsid w:val="00797555"/>
    <w:rsid w:val="007A2BE5"/>
    <w:rsid w:val="007F2F7C"/>
    <w:rsid w:val="00801EEB"/>
    <w:rsid w:val="00823FF6"/>
    <w:rsid w:val="008A1537"/>
    <w:rsid w:val="008A2B08"/>
    <w:rsid w:val="009205E6"/>
    <w:rsid w:val="00961EB6"/>
    <w:rsid w:val="00985897"/>
    <w:rsid w:val="00A11AFA"/>
    <w:rsid w:val="00A2225B"/>
    <w:rsid w:val="00A232D1"/>
    <w:rsid w:val="00A55847"/>
    <w:rsid w:val="00AA4D8B"/>
    <w:rsid w:val="00AD5417"/>
    <w:rsid w:val="00B151D3"/>
    <w:rsid w:val="00B26729"/>
    <w:rsid w:val="00B67A85"/>
    <w:rsid w:val="00BF3220"/>
    <w:rsid w:val="00C16E38"/>
    <w:rsid w:val="00C515C2"/>
    <w:rsid w:val="00C90739"/>
    <w:rsid w:val="00C96083"/>
    <w:rsid w:val="00CA24A4"/>
    <w:rsid w:val="00CB5D41"/>
    <w:rsid w:val="00D07A08"/>
    <w:rsid w:val="00D70B25"/>
    <w:rsid w:val="00D91705"/>
    <w:rsid w:val="00DA0F35"/>
    <w:rsid w:val="00DD7FA0"/>
    <w:rsid w:val="00E15914"/>
    <w:rsid w:val="00E263BB"/>
    <w:rsid w:val="00E63BF1"/>
    <w:rsid w:val="00E7569D"/>
    <w:rsid w:val="00EC219F"/>
    <w:rsid w:val="00F01912"/>
    <w:rsid w:val="00F22C09"/>
    <w:rsid w:val="00FB4E47"/>
    <w:rsid w:val="00FD11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5624A"/>
  <w15:docId w15:val="{C7ABD0A6-97F9-496B-BA9B-0D2ABA9E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標楷體" w:eastAsia="標楷體" w:hAnsi="標楷體" w:cs="標楷體"/>
    </w:rPr>
  </w:style>
  <w:style w:type="paragraph" w:styleId="1">
    <w:name w:val="heading 1"/>
    <w:basedOn w:val="a"/>
    <w:uiPriority w:val="1"/>
    <w:qFormat/>
    <w:pPr>
      <w:ind w:left="280"/>
      <w:jc w:val="center"/>
      <w:outlineLvl w:val="0"/>
    </w:pPr>
    <w:rPr>
      <w:sz w:val="36"/>
      <w:szCs w:val="36"/>
    </w:rPr>
  </w:style>
  <w:style w:type="paragraph" w:styleId="2">
    <w:name w:val="heading 2"/>
    <w:uiPriority w:val="9"/>
    <w:unhideWhenUsed/>
    <w:rsid w:val="0028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uiPriority w:val="9"/>
    <w:unhideWhenUsed/>
    <w:rsid w:val="00285B6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uiPriority w:val="9"/>
    <w:unhideWhenUsed/>
    <w:qFormat/>
    <w:rsid w:val="005F43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73"/>
      <w:ind w:left="2023" w:hanging="1983"/>
    </w:pPr>
    <w:rPr>
      <w:sz w:val="24"/>
      <w:szCs w:val="24"/>
    </w:rPr>
  </w:style>
  <w:style w:type="paragraph" w:styleId="a4">
    <w:name w:val="List Paragraph"/>
    <w:basedOn w:val="a"/>
    <w:uiPriority w:val="1"/>
    <w:qFormat/>
    <w:pPr>
      <w:spacing w:before="173"/>
      <w:ind w:left="2023" w:hanging="1983"/>
    </w:pPr>
  </w:style>
  <w:style w:type="paragraph" w:customStyle="1" w:styleId="TableParagraph">
    <w:name w:val="Table Paragraph"/>
    <w:basedOn w:val="a"/>
    <w:uiPriority w:val="1"/>
    <w:qFormat/>
  </w:style>
  <w:style w:type="paragraph" w:styleId="a5">
    <w:name w:val="header"/>
    <w:basedOn w:val="a"/>
    <w:link w:val="a6"/>
    <w:uiPriority w:val="99"/>
    <w:unhideWhenUsed/>
    <w:rsid w:val="00C515C2"/>
    <w:pPr>
      <w:tabs>
        <w:tab w:val="center" w:pos="4153"/>
        <w:tab w:val="right" w:pos="8306"/>
      </w:tabs>
      <w:snapToGrid w:val="0"/>
    </w:pPr>
    <w:rPr>
      <w:sz w:val="20"/>
      <w:szCs w:val="20"/>
    </w:rPr>
  </w:style>
  <w:style w:type="character" w:customStyle="1" w:styleId="a6">
    <w:name w:val="頁首 字元"/>
    <w:basedOn w:val="a0"/>
    <w:link w:val="a5"/>
    <w:uiPriority w:val="99"/>
    <w:rsid w:val="00C515C2"/>
    <w:rPr>
      <w:rFonts w:ascii="標楷體" w:eastAsia="標楷體" w:hAnsi="標楷體" w:cs="標楷體"/>
      <w:sz w:val="20"/>
      <w:szCs w:val="20"/>
    </w:rPr>
  </w:style>
  <w:style w:type="paragraph" w:styleId="a7">
    <w:name w:val="footer"/>
    <w:basedOn w:val="a"/>
    <w:link w:val="a8"/>
    <w:uiPriority w:val="99"/>
    <w:unhideWhenUsed/>
    <w:rsid w:val="00C515C2"/>
    <w:pPr>
      <w:tabs>
        <w:tab w:val="center" w:pos="4153"/>
        <w:tab w:val="right" w:pos="8306"/>
      </w:tabs>
      <w:snapToGrid w:val="0"/>
    </w:pPr>
    <w:rPr>
      <w:sz w:val="20"/>
      <w:szCs w:val="20"/>
    </w:rPr>
  </w:style>
  <w:style w:type="character" w:customStyle="1" w:styleId="a8">
    <w:name w:val="頁尾 字元"/>
    <w:basedOn w:val="a0"/>
    <w:link w:val="a7"/>
    <w:uiPriority w:val="99"/>
    <w:rsid w:val="00C515C2"/>
    <w:rPr>
      <w:rFonts w:ascii="標楷體" w:eastAsia="標楷體" w:hAnsi="標楷體" w:cs="標楷體"/>
      <w:sz w:val="20"/>
      <w:szCs w:val="20"/>
    </w:rPr>
  </w:style>
  <w:style w:type="table" w:styleId="a9">
    <w:name w:val="Table Grid"/>
    <w:basedOn w:val="a1"/>
    <w:uiPriority w:val="59"/>
    <w:rsid w:val="00B15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next w:val="a"/>
    <w:link w:val="ab"/>
    <w:uiPriority w:val="10"/>
    <w:qFormat/>
    <w:rsid w:val="003B5537"/>
    <w:pPr>
      <w:spacing w:before="240" w:after="60"/>
      <w:jc w:val="center"/>
      <w:outlineLvl w:val="0"/>
    </w:pPr>
    <w:rPr>
      <w:rFonts w:asciiTheme="majorHAnsi" w:eastAsia="新細明體" w:hAnsiTheme="majorHAnsi" w:cstheme="majorBidi"/>
      <w:b/>
      <w:bCs/>
      <w:sz w:val="32"/>
      <w:szCs w:val="32"/>
    </w:rPr>
  </w:style>
  <w:style w:type="character" w:customStyle="1" w:styleId="ab">
    <w:name w:val="標題 字元"/>
    <w:basedOn w:val="a0"/>
    <w:link w:val="aa"/>
    <w:uiPriority w:val="10"/>
    <w:rsid w:val="003B5537"/>
    <w:rPr>
      <w:rFonts w:asciiTheme="majorHAnsi" w:eastAsia="新細明體" w:hAnsiTheme="majorHAnsi" w:cstheme="majorBidi"/>
      <w:b/>
      <w:bCs/>
      <w:sz w:val="32"/>
      <w:szCs w:val="32"/>
    </w:rPr>
  </w:style>
  <w:style w:type="character" w:styleId="ac">
    <w:name w:val="Hyperlink"/>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AB251-7F29-492F-ADC1-C96BE790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3175</Characters>
  <Application>Microsoft Office Word</Application>
  <DocSecurity>0</DocSecurity>
  <Lines>26</Lines>
  <Paragraphs>7</Paragraphs>
  <ScaleCrop>false</ScaleCrop>
  <Company>HP</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Ciiing Chiang</dc:creator>
  <cp:lastModifiedBy>陳思樺</cp:lastModifiedBy>
  <cp:revision>2</cp:revision>
  <dcterms:created xsi:type="dcterms:W3CDTF">2023-03-21T02:06:00Z</dcterms:created>
  <dcterms:modified xsi:type="dcterms:W3CDTF">2023-03-21T02:06:00Z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2017-10-25T00:00:00Z</vt:filetime>
  </property>
  <property fmtid="{D5CDD505-2E9C-101B-9397-08002B2CF9AE}" pid="3" name="LastSaved">
    <vt:filetime>2017-10-25T00:00:00Z</vt:filetime>
  </property>
</Properties>
</file>