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AAF" w:rsidRPr="00F12A3C" w:rsidRDefault="00985897" w:rsidP="003B5537">
      <w:pPr>
        <w:pStyle w:val="aa"/>
        <w:rPr>
          <w:rFonts w:ascii="標楷體" w:eastAsia="標楷體" w:hAnsi="標楷體"/>
          <w:lang w:eastAsia="zh-TW"/>
        </w:rPr>
      </w:pPr>
      <w:bookmarkStart w:id="0" w:name="_GoBack"/>
      <w:bookmarkEnd w:id="0"/>
      <w:r w:rsidRPr="00F12A3C">
        <w:rPr>
          <w:rFonts w:ascii="標楷體" w:eastAsia="標楷體" w:hAnsi="標楷體"/>
          <w:lang w:eastAsia="zh-TW"/>
        </w:rPr>
        <w:t>「</w:t>
      </w:r>
      <w:r w:rsidR="003B5537" w:rsidRPr="00F12A3C">
        <w:rPr>
          <w:rFonts w:ascii="標楷體" w:eastAsia="標楷體" w:hAnsi="標楷體" w:hint="eastAsia"/>
          <w:lang w:eastAsia="zh-TW"/>
        </w:rPr>
        <w:t>汽車駕駛人參加執業登記前分區測驗</w:t>
      </w:r>
      <w:r w:rsidR="00BC117D" w:rsidRPr="00F12A3C">
        <w:rPr>
          <w:rFonts w:ascii="標楷體" w:eastAsia="標楷體" w:hAnsi="標楷體" w:hint="eastAsia"/>
          <w:lang w:eastAsia="zh-TW"/>
        </w:rPr>
        <w:t>地理環境</w:t>
      </w:r>
      <w:r w:rsidRPr="00F12A3C">
        <w:rPr>
          <w:rFonts w:ascii="標楷體" w:eastAsia="標楷體" w:hAnsi="標楷體"/>
          <w:lang w:eastAsia="zh-TW"/>
        </w:rPr>
        <w:t>」</w:t>
      </w:r>
      <w:r w:rsidR="00E15914" w:rsidRPr="00F12A3C">
        <w:rPr>
          <w:rFonts w:ascii="標楷體" w:eastAsia="標楷體" w:hAnsi="標楷體"/>
          <w:noProof/>
          <w:lang w:eastAsia="zh-TW"/>
        </w:rPr>
        <w:t>新北市 A</w:t>
      </w:r>
      <w:r w:rsidRPr="00F12A3C">
        <w:rPr>
          <w:rFonts w:ascii="標楷體" w:eastAsia="標楷體" w:hAnsi="標楷體"/>
          <w:lang w:eastAsia="zh-TW"/>
        </w:rPr>
        <w:t>卷</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418"/>
        <w:gridCol w:w="3118"/>
        <w:gridCol w:w="5245"/>
        <w:gridCol w:w="1730"/>
        <w:gridCol w:w="3373"/>
      </w:tblGrid>
      <w:tr w:rsidR="0043178E" w:rsidRPr="00F12A3C" w:rsidTr="00607527">
        <w:tc>
          <w:tcPr>
            <w:tcW w:w="5353" w:type="dxa"/>
            <w:gridSpan w:val="3"/>
          </w:tcPr>
          <w:p w:rsidR="0043178E" w:rsidRPr="00F12A3C" w:rsidRDefault="0043178E" w:rsidP="005A32D0">
            <w:pPr>
              <w:pStyle w:val="1"/>
              <w:spacing w:line="432" w:lineRule="exact"/>
              <w:ind w:left="0"/>
              <w:jc w:val="left"/>
              <w:rPr>
                <w:sz w:val="28"/>
                <w:szCs w:val="28"/>
                <w:lang w:eastAsia="zh-TW"/>
              </w:rPr>
            </w:pPr>
            <w:r w:rsidRPr="00F12A3C">
              <w:rPr>
                <w:rFonts w:hint="eastAsia"/>
                <w:sz w:val="28"/>
                <w:szCs w:val="28"/>
                <w:lang w:eastAsia="zh-TW"/>
              </w:rPr>
              <w:t>學號：</w:t>
            </w:r>
          </w:p>
        </w:tc>
        <w:tc>
          <w:tcPr>
            <w:tcW w:w="5245" w:type="dxa"/>
          </w:tcPr>
          <w:p w:rsidR="0043178E" w:rsidRPr="00F12A3C" w:rsidRDefault="0043178E" w:rsidP="005A32D0">
            <w:pPr>
              <w:pStyle w:val="1"/>
              <w:spacing w:line="432" w:lineRule="exact"/>
              <w:ind w:left="0"/>
              <w:jc w:val="left"/>
              <w:rPr>
                <w:sz w:val="28"/>
                <w:szCs w:val="28"/>
                <w:lang w:eastAsia="zh-TW"/>
              </w:rPr>
            </w:pPr>
            <w:r w:rsidRPr="00F12A3C">
              <w:rPr>
                <w:rFonts w:hint="eastAsia"/>
                <w:sz w:val="28"/>
                <w:szCs w:val="28"/>
                <w:lang w:eastAsia="zh-TW"/>
              </w:rPr>
              <w:t>姓名：</w:t>
            </w:r>
          </w:p>
        </w:tc>
        <w:tc>
          <w:tcPr>
            <w:tcW w:w="5103" w:type="dxa"/>
            <w:gridSpan w:val="2"/>
          </w:tcPr>
          <w:p w:rsidR="0043178E" w:rsidRPr="00F12A3C" w:rsidRDefault="0043178E" w:rsidP="0043178E">
            <w:pPr>
              <w:pStyle w:val="1"/>
              <w:spacing w:line="432" w:lineRule="exact"/>
              <w:ind w:left="0"/>
              <w:jc w:val="left"/>
              <w:rPr>
                <w:sz w:val="28"/>
                <w:szCs w:val="28"/>
                <w:lang w:eastAsia="zh-TW"/>
              </w:rPr>
            </w:pPr>
            <w:r w:rsidRPr="00F12A3C">
              <w:rPr>
                <w:sz w:val="28"/>
                <w:szCs w:val="28"/>
                <w:lang w:eastAsia="zh-TW"/>
              </w:rPr>
              <w:t>測驗梯次：</w:t>
            </w:r>
            <w:r w:rsidRPr="00F12A3C">
              <w:rPr>
                <w:noProof/>
                <w:sz w:val="28"/>
                <w:szCs w:val="28"/>
                <w:lang w:eastAsia="zh-TW"/>
              </w:rPr>
              <w:t>FA112041301</w:t>
            </w:r>
          </w:p>
        </w:tc>
      </w:tr>
      <w:tr w:rsidR="0043178E" w:rsidRPr="00F12A3C" w:rsidTr="00607527">
        <w:tc>
          <w:tcPr>
            <w:tcW w:w="15701" w:type="dxa"/>
            <w:gridSpan w:val="6"/>
          </w:tcPr>
          <w:p w:rsidR="0043178E" w:rsidRPr="00F12A3C" w:rsidRDefault="0043178E" w:rsidP="0043178E">
            <w:pPr>
              <w:pStyle w:val="1"/>
              <w:spacing w:line="432" w:lineRule="exact"/>
              <w:ind w:left="0"/>
              <w:jc w:val="left"/>
              <w:rPr>
                <w:sz w:val="28"/>
                <w:szCs w:val="28"/>
                <w:lang w:eastAsia="zh-TW"/>
              </w:rPr>
            </w:pPr>
            <w:r w:rsidRPr="00F12A3C">
              <w:rPr>
                <w:noProof/>
                <w:sz w:val="28"/>
                <w:szCs w:val="28"/>
              </w:rPr>
              <w:t>試卷編號：TGFA112041301FA</w:t>
            </w:r>
            <w:r w:rsidRPr="00F12A3C">
              <w:rPr>
                <w:noProof/>
                <w:sz w:val="28"/>
                <w:szCs w:val="28"/>
              </w:rPr>
              <w:br/>
              <w:t>是非題（每題 2 分，對的打  Ｏ ，錯的打 Ｘ，塗改不計分）</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1.</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基隆市愛二路單行道是由仁二路往仁五路方向行駛。</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O</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2.</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基隆市信義區往四腳亭可經由月眉路線。</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O</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3.</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基隆市火車站到基隆市警察局可經富狗橋右轉信一路。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X</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4.</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基隆市警察局第二分局位於信二路,信二路實施單行道、行駛路線。</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O</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5.</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加禮遠橋非為五結鄉內的橋樑。</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X</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6.</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武荖坑風景區位於冬山鄉與蘇澳鎮交界處。</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O</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7.</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新北市萬里區公所位於忠勇路。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X</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8.</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新北市石門區公所位於中山路。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O</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9.</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板橋區少年法庭位於漢生東路上。</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X</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10.</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淡水古蹟園區包含紅毛城、小白宮、漁人碼頭等三處。</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X</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11.</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新莊區新泰路至泰山區連接泰林路,而泰林路為通往林口區之重要道路。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O</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12.</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東北角海岸國家步道系統,主要步道分成三小段,分別為草嶺古道、隆嶺古道、與三貂嶺古道。隆嶺古道位於新北市貢寮區。</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O</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13.</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桃園市政府警察局桃園分局位於桃園區永安路上。</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X</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14.</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桃園市桃園區戶政事務所位於龍安街上。</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X</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15.</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台北凱撒大飯店位於忠孝東路。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X</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16.</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臺北中興大橋連接中和區。</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X</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17.</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臺北市成功路與民權東路沒有相交。</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X</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18.</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春天酒店位於臺北市北投幽雅路上。</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O</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19.</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以最短路徑從臺北市政府搭計程車至花博公園美術園區須經過承德路。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X</w:t>
            </w:r>
          </w:p>
        </w:tc>
      </w:tr>
      <w:tr w:rsidR="00227D4E" w:rsidRPr="00F12A3C" w:rsidTr="00607527">
        <w:tc>
          <w:tcPr>
            <w:tcW w:w="817" w:type="dxa"/>
          </w:tcPr>
          <w:p w:rsidR="00227D4E" w:rsidRPr="00F12A3C" w:rsidRDefault="00227D4E" w:rsidP="0043178E">
            <w:pPr>
              <w:pStyle w:val="1"/>
              <w:spacing w:line="432" w:lineRule="exact"/>
              <w:ind w:left="0"/>
              <w:jc w:val="right"/>
              <w:rPr>
                <w:sz w:val="28"/>
                <w:szCs w:val="28"/>
                <w:lang w:eastAsia="zh-TW"/>
              </w:rPr>
            </w:pPr>
            <w:r w:rsidRPr="00F12A3C">
              <w:rPr>
                <w:noProof/>
                <w:sz w:val="28"/>
                <w:szCs w:val="28"/>
              </w:rPr>
              <w:t>20.</w:t>
            </w:r>
          </w:p>
        </w:tc>
        <w:tc>
          <w:tcPr>
            <w:tcW w:w="1418" w:type="dxa"/>
          </w:tcPr>
          <w:p w:rsidR="00227D4E" w:rsidRPr="00F12A3C" w:rsidRDefault="00227D4E" w:rsidP="00F12A3C">
            <w:pPr>
              <w:pStyle w:val="1"/>
              <w:spacing w:line="432" w:lineRule="exact"/>
              <w:ind w:leftChars="15" w:left="33" w:rightChars="-113" w:right="-249"/>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0"/>
              <w:jc w:val="left"/>
              <w:rPr>
                <w:sz w:val="28"/>
                <w:szCs w:val="28"/>
                <w:lang w:eastAsia="zh-TW"/>
              </w:rPr>
            </w:pPr>
            <w:r w:rsidRPr="00F12A3C">
              <w:rPr>
                <w:noProof/>
                <w:sz w:val="28"/>
                <w:szCs w:val="28"/>
              </w:rPr>
              <w:t>臺北市文山區行政中心距離保儀路比距政大二街更近。</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O</w:t>
            </w:r>
          </w:p>
        </w:tc>
      </w:tr>
      <w:tr w:rsidR="0043178E" w:rsidRPr="00F12A3C" w:rsidTr="00607527">
        <w:tc>
          <w:tcPr>
            <w:tcW w:w="15701" w:type="dxa"/>
            <w:gridSpan w:val="6"/>
          </w:tcPr>
          <w:p w:rsidR="0043178E" w:rsidRPr="00F12A3C" w:rsidRDefault="0043178E" w:rsidP="0043178E">
            <w:pPr>
              <w:pStyle w:val="1"/>
              <w:spacing w:line="432" w:lineRule="exact"/>
              <w:ind w:left="0"/>
              <w:jc w:val="left"/>
              <w:rPr>
                <w:sz w:val="28"/>
                <w:szCs w:val="28"/>
                <w:lang w:eastAsia="zh-TW"/>
              </w:rPr>
            </w:pPr>
            <w:r w:rsidRPr="00F12A3C">
              <w:rPr>
                <w:noProof/>
                <w:sz w:val="28"/>
                <w:szCs w:val="28"/>
              </w:rPr>
              <w:t>選擇題（每題 2 分，塗改不計分）</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1.</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基隆市孝二路行經三十一號橋路口遇紅燈無右轉箭頭燈時(1)不准右轉(2)准許右轉(3)准許右轉但應注意橫向來車。</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2.</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基隆市仁二路單行道行駛方向是(1)劉銘傳路往愛四路方向(2)愛四路往劉銘傳路方向(3)愛五路往愛七路方向。</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3.</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基隆市信一路是(1)由中正路往義一路(2)由義一路往義三路(3)由東信路往中正路方向、行駛之單行道。</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3</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4.</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基隆市信四路是(1)中正路往正義路方向行駛之單行道(2)正義路往中正路方向行駛之單行道(3)雙向道。</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5.</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基隆市自強隧道為安樂路一、二段相接通往安樂社區要衝,行駛時應減速慢行,不得超過(1)30公里(2)40公里(3)50公里。</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3</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6.</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於宜蘭縣政府旁有下列何者(1)台灣戲劇館(2)縣史館(3)蘭陽館。</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2.</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7.</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下列何者為礁溪鄉內縣道191甲線的橋(1)玉龍二橋(2)港尾橋 (3)得子口橋。</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8.</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宜蘭縣壯圍大橋位於下列何者上(1)台2省道 (2)台7省道 (3)台9省道</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2.</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9.</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三級古蹟先嗇宮地點位於三重區何處(1)重新路(2)五谷王北街(3)五谷王南街。</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2.</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10.</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三重忠孝橋行經中山橋往新莊方向,下列何者為主要道路(1)臺一線(2)臺一甲線(3)臺二線。</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11.</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下列何者路口為三重區與新莊區交界處(1)重新路與五谷王北街(2)重新路與中正路(3)重新路與中興北街。</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2.</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12.</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三峽李梅樹紀念館位於何址(1)中山路(2)中華路(3)安溪路。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2.</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13.</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馬偕醫院淡水分院地點位於何處(1)淡水區中山路93號(2)淡水區中正東路51號(3)淡水區民生路45號</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3</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14.</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野柳風景區位於那一路段(1)港東路(2)瑪鋉路(3)加投路。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15.</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新北市立聯合醫院板橋院區位於那條道路上(1)英士路(2)中山路(3)文化路。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16.</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新北市警察局新店分局租用民間拖吊保管場位於什麼路上(1)北新街87巷(2)環河路16巷(3)寶橋路235巷。</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3.</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lastRenderedPageBreak/>
              <w:t>17.</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新北市政府警察局新莊分局位於新莊區(1)新莊路(2)思源路(3)中正路150號。</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3.</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18.</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臺北南山廣場位於(1)松智路(2)松壽路(3)松高路。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19.</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臺北市士林區忠勇街與下列哪一路段連接(1)福林路(2)文林路(3)中正路。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20.</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下列何者非為連接臺北市與新北市的橋樑(1)中正橋(2)中山橋(3)中興橋。</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2</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21.</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臺北市立雙連國小位於(1)錦西街(2)涼州街(3)寧夏路。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22.</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臺北市忠孝東路與那一條路有相交(1)仁愛路(2)研究院路(3)南港路。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2</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23.</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那一條路和其他兩條皆沒有相交(1)向陽路(2)重陽路(3)研究院路。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3</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24.</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臺北市環山路與那一段路沒有相交(1)內湖路(2)堤頂大道(3)港墘路。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2</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25.</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下列那一個地點離臺北市政府警察局內湖分局最近(1)三民國中(2)新湖國小(3)三軍總醫院。</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2</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26.</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以最短路徑從松山機場搭計程車至圓山大飯店無須行經下列何路段(1)民權東路(2)承德路(3)民族東路。</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2</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27.</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衛生福利部中央健康保險署北區業務組位於中壢區何路段?(1)中山東路一段(2)中山東路二段(3)中山東路三段。</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3</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28.</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富岡火車站位於楊梅區何路段?(1)成功路(2)中華街(3)富源街。</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29.</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桃園美國學校TYAS位於蘆竹區何路段?(1)開南路(2)龍林街(3)新興街。</w:t>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1</w:t>
            </w:r>
          </w:p>
        </w:tc>
      </w:tr>
      <w:tr w:rsidR="00227D4E" w:rsidRPr="00F12A3C" w:rsidTr="00607527">
        <w:tc>
          <w:tcPr>
            <w:tcW w:w="817" w:type="dxa"/>
          </w:tcPr>
          <w:p w:rsidR="00227D4E" w:rsidRPr="00F12A3C" w:rsidRDefault="00227D4E" w:rsidP="00E91C0B">
            <w:pPr>
              <w:pStyle w:val="1"/>
              <w:spacing w:line="432" w:lineRule="exact"/>
              <w:ind w:left="0"/>
              <w:jc w:val="right"/>
              <w:rPr>
                <w:sz w:val="28"/>
                <w:szCs w:val="28"/>
                <w:lang w:eastAsia="zh-TW"/>
              </w:rPr>
            </w:pPr>
            <w:r w:rsidRPr="00F12A3C">
              <w:rPr>
                <w:noProof/>
                <w:sz w:val="28"/>
                <w:szCs w:val="28"/>
              </w:rPr>
              <w:t>30.</w:t>
            </w:r>
          </w:p>
        </w:tc>
        <w:tc>
          <w:tcPr>
            <w:tcW w:w="1418" w:type="dxa"/>
          </w:tcPr>
          <w:p w:rsidR="00227D4E" w:rsidRPr="00F12A3C" w:rsidRDefault="00227D4E" w:rsidP="00607527">
            <w:pPr>
              <w:pStyle w:val="1"/>
              <w:spacing w:line="432" w:lineRule="exact"/>
              <w:ind w:left="0" w:rightChars="-49" w:right="-108"/>
              <w:jc w:val="left"/>
              <w:rPr>
                <w:sz w:val="28"/>
                <w:szCs w:val="28"/>
                <w:lang w:eastAsia="zh-TW"/>
              </w:rPr>
            </w:pPr>
            <w:r w:rsidRPr="00F12A3C">
              <w:rPr>
                <w:noProof/>
                <w:sz w:val="28"/>
                <w:szCs w:val="28"/>
              </w:rPr>
              <w:t>（ 　）</w:t>
            </w:r>
          </w:p>
        </w:tc>
        <w:tc>
          <w:tcPr>
            <w:tcW w:w="10093" w:type="dxa"/>
            <w:gridSpan w:val="3"/>
          </w:tcPr>
          <w:p w:rsidR="00227D4E" w:rsidRPr="00F12A3C" w:rsidRDefault="00227D4E" w:rsidP="00227D4E">
            <w:pPr>
              <w:pStyle w:val="1"/>
              <w:spacing w:line="432" w:lineRule="exact"/>
              <w:ind w:left="11"/>
              <w:jc w:val="left"/>
              <w:rPr>
                <w:sz w:val="28"/>
                <w:szCs w:val="28"/>
                <w:lang w:eastAsia="zh-TW"/>
              </w:rPr>
            </w:pPr>
            <w:r w:rsidRPr="00F12A3C">
              <w:rPr>
                <w:noProof/>
                <w:sz w:val="28"/>
                <w:szCs w:val="28"/>
              </w:rPr>
              <w:t>基福公路西起基隆市暖暖區,經新北市平溪區、雙溪區至貢寮區止,暖暖段至平溪段已公告禁行(1)重型機車(2)小型車(3)大貨車、或載運危險物品之車輛。</w:t>
            </w:r>
            <w:r w:rsidRPr="00F12A3C">
              <w:rPr>
                <w:noProof/>
                <w:sz w:val="28"/>
                <w:szCs w:val="28"/>
              </w:rPr>
              <w:br/>
            </w:r>
          </w:p>
        </w:tc>
        <w:tc>
          <w:tcPr>
            <w:tcW w:w="3373" w:type="dxa"/>
          </w:tcPr>
          <w:p w:rsidR="00227D4E" w:rsidRPr="00F12A3C" w:rsidRDefault="00227D4E" w:rsidP="00115956">
            <w:pPr>
              <w:pStyle w:val="1"/>
              <w:spacing w:line="432" w:lineRule="exact"/>
              <w:ind w:left="0"/>
              <w:jc w:val="left"/>
              <w:rPr>
                <w:sz w:val="28"/>
                <w:szCs w:val="28"/>
                <w:lang w:eastAsia="zh-TW"/>
              </w:rPr>
            </w:pPr>
            <w:r w:rsidRPr="00F12A3C">
              <w:rPr>
                <w:noProof/>
                <w:sz w:val="28"/>
                <w:szCs w:val="28"/>
              </w:rPr>
              <w:t>3</w:t>
            </w:r>
          </w:p>
        </w:tc>
      </w:tr>
    </w:tbl>
    <w:p w:rsidR="00365F38" w:rsidRPr="00F12A3C" w:rsidRDefault="00365F38">
      <w:pPr>
        <w:rPr>
          <w:sz w:val="28"/>
          <w:szCs w:val="28"/>
          <w:lang w:eastAsia="zh-TW"/>
        </w:rPr>
      </w:pPr>
    </w:p>
    <w:sectPr w:rsidR="00365F38" w:rsidRPr="00F12A3C" w:rsidSect="00F12A3C">
      <w:pgSz w:w="16839" w:h="23814" w:code="8"/>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AE4" w:rsidRDefault="00227AE4" w:rsidP="00C515C2">
      <w:r>
        <w:separator/>
      </w:r>
    </w:p>
  </w:endnote>
  <w:endnote w:type="continuationSeparator" w:id="0">
    <w:p w:rsidR="00227AE4" w:rsidRDefault="00227AE4" w:rsidP="00C5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AE4" w:rsidRDefault="00227AE4" w:rsidP="00C515C2">
      <w:r>
        <w:separator/>
      </w:r>
    </w:p>
  </w:footnote>
  <w:footnote w:type="continuationSeparator" w:id="0">
    <w:p w:rsidR="00227AE4" w:rsidRDefault="00227AE4" w:rsidP="00C51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516"/>
    <w:multiLevelType w:val="hybridMultilevel"/>
    <w:tmpl w:val="899C87FE"/>
    <w:lvl w:ilvl="0" w:tplc="86225604">
      <w:start w:val="1"/>
      <w:numFmt w:val="decimal"/>
      <w:lvlText w:val="%1"/>
      <w:lvlJc w:val="left"/>
      <w:pPr>
        <w:ind w:left="2023" w:hanging="1984"/>
      </w:pPr>
      <w:rPr>
        <w:rFonts w:ascii="標楷體" w:eastAsia="標楷體" w:hAnsi="標楷體" w:cs="標楷體" w:hint="default"/>
        <w:w w:val="100"/>
        <w:sz w:val="24"/>
        <w:szCs w:val="24"/>
      </w:rPr>
    </w:lvl>
    <w:lvl w:ilvl="1" w:tplc="569044A6">
      <w:numFmt w:val="bullet"/>
      <w:lvlText w:val="•"/>
      <w:lvlJc w:val="left"/>
      <w:pPr>
        <w:ind w:left="2980" w:hanging="1984"/>
      </w:pPr>
      <w:rPr>
        <w:rFonts w:hint="default"/>
      </w:rPr>
    </w:lvl>
    <w:lvl w:ilvl="2" w:tplc="F7040242">
      <w:numFmt w:val="bullet"/>
      <w:lvlText w:val="•"/>
      <w:lvlJc w:val="left"/>
      <w:pPr>
        <w:ind w:left="3940" w:hanging="1984"/>
      </w:pPr>
      <w:rPr>
        <w:rFonts w:hint="default"/>
      </w:rPr>
    </w:lvl>
    <w:lvl w:ilvl="3" w:tplc="1FC88B78">
      <w:numFmt w:val="bullet"/>
      <w:lvlText w:val="•"/>
      <w:lvlJc w:val="left"/>
      <w:pPr>
        <w:ind w:left="4900" w:hanging="1984"/>
      </w:pPr>
      <w:rPr>
        <w:rFonts w:hint="default"/>
      </w:rPr>
    </w:lvl>
    <w:lvl w:ilvl="4" w:tplc="0824882A">
      <w:numFmt w:val="bullet"/>
      <w:lvlText w:val="•"/>
      <w:lvlJc w:val="left"/>
      <w:pPr>
        <w:ind w:left="5860" w:hanging="1984"/>
      </w:pPr>
      <w:rPr>
        <w:rFonts w:hint="default"/>
      </w:rPr>
    </w:lvl>
    <w:lvl w:ilvl="5" w:tplc="5C42BD2A">
      <w:numFmt w:val="bullet"/>
      <w:lvlText w:val="•"/>
      <w:lvlJc w:val="left"/>
      <w:pPr>
        <w:ind w:left="6820" w:hanging="1984"/>
      </w:pPr>
      <w:rPr>
        <w:rFonts w:hint="default"/>
      </w:rPr>
    </w:lvl>
    <w:lvl w:ilvl="6" w:tplc="8362DBFE">
      <w:numFmt w:val="bullet"/>
      <w:lvlText w:val="•"/>
      <w:lvlJc w:val="left"/>
      <w:pPr>
        <w:ind w:left="7780" w:hanging="1984"/>
      </w:pPr>
      <w:rPr>
        <w:rFonts w:hint="default"/>
      </w:rPr>
    </w:lvl>
    <w:lvl w:ilvl="7" w:tplc="48A65F60">
      <w:numFmt w:val="bullet"/>
      <w:lvlText w:val="•"/>
      <w:lvlJc w:val="left"/>
      <w:pPr>
        <w:ind w:left="8740" w:hanging="1984"/>
      </w:pPr>
      <w:rPr>
        <w:rFonts w:hint="default"/>
      </w:rPr>
    </w:lvl>
    <w:lvl w:ilvl="8" w:tplc="8084AFFC">
      <w:numFmt w:val="bullet"/>
      <w:lvlText w:val="•"/>
      <w:lvlJc w:val="left"/>
      <w:pPr>
        <w:ind w:left="9700" w:hanging="1984"/>
      </w:pPr>
      <w:rPr>
        <w:rFonts w:hint="default"/>
      </w:rPr>
    </w:lvl>
  </w:abstractNum>
  <w:abstractNum w:abstractNumId="1" w15:restartNumberingAfterBreak="0">
    <w:nsid w:val="150812CC"/>
    <w:multiLevelType w:val="hybridMultilevel"/>
    <w:tmpl w:val="9496E746"/>
    <w:lvl w:ilvl="0" w:tplc="104C9CFC">
      <w:start w:val="1"/>
      <w:numFmt w:val="decimal"/>
      <w:lvlText w:val="%1"/>
      <w:lvlJc w:val="left"/>
      <w:pPr>
        <w:ind w:left="2023" w:hanging="1984"/>
      </w:pPr>
      <w:rPr>
        <w:rFonts w:ascii="標楷體" w:eastAsia="標楷體" w:hAnsi="標楷體" w:cs="標楷體" w:hint="default"/>
        <w:w w:val="100"/>
        <w:sz w:val="24"/>
        <w:szCs w:val="24"/>
      </w:rPr>
    </w:lvl>
    <w:lvl w:ilvl="1" w:tplc="D6D44324">
      <w:numFmt w:val="bullet"/>
      <w:lvlText w:val="•"/>
      <w:lvlJc w:val="left"/>
      <w:pPr>
        <w:ind w:left="2980" w:hanging="1984"/>
      </w:pPr>
      <w:rPr>
        <w:rFonts w:hint="default"/>
      </w:rPr>
    </w:lvl>
    <w:lvl w:ilvl="2" w:tplc="3E50DED8">
      <w:numFmt w:val="bullet"/>
      <w:lvlText w:val="•"/>
      <w:lvlJc w:val="left"/>
      <w:pPr>
        <w:ind w:left="3940" w:hanging="1984"/>
      </w:pPr>
      <w:rPr>
        <w:rFonts w:hint="default"/>
      </w:rPr>
    </w:lvl>
    <w:lvl w:ilvl="3" w:tplc="95ECFE46">
      <w:numFmt w:val="bullet"/>
      <w:lvlText w:val="•"/>
      <w:lvlJc w:val="left"/>
      <w:pPr>
        <w:ind w:left="4900" w:hanging="1984"/>
      </w:pPr>
      <w:rPr>
        <w:rFonts w:hint="default"/>
      </w:rPr>
    </w:lvl>
    <w:lvl w:ilvl="4" w:tplc="8B1EA5AC">
      <w:numFmt w:val="bullet"/>
      <w:lvlText w:val="•"/>
      <w:lvlJc w:val="left"/>
      <w:pPr>
        <w:ind w:left="5860" w:hanging="1984"/>
      </w:pPr>
      <w:rPr>
        <w:rFonts w:hint="default"/>
      </w:rPr>
    </w:lvl>
    <w:lvl w:ilvl="5" w:tplc="4E220136">
      <w:numFmt w:val="bullet"/>
      <w:lvlText w:val="•"/>
      <w:lvlJc w:val="left"/>
      <w:pPr>
        <w:ind w:left="6820" w:hanging="1984"/>
      </w:pPr>
      <w:rPr>
        <w:rFonts w:hint="default"/>
      </w:rPr>
    </w:lvl>
    <w:lvl w:ilvl="6" w:tplc="C1D0D31E">
      <w:numFmt w:val="bullet"/>
      <w:lvlText w:val="•"/>
      <w:lvlJc w:val="left"/>
      <w:pPr>
        <w:ind w:left="7780" w:hanging="1984"/>
      </w:pPr>
      <w:rPr>
        <w:rFonts w:hint="default"/>
      </w:rPr>
    </w:lvl>
    <w:lvl w:ilvl="7" w:tplc="AC3ACA3C">
      <w:numFmt w:val="bullet"/>
      <w:lvlText w:val="•"/>
      <w:lvlJc w:val="left"/>
      <w:pPr>
        <w:ind w:left="8740" w:hanging="1984"/>
      </w:pPr>
      <w:rPr>
        <w:rFonts w:hint="default"/>
      </w:rPr>
    </w:lvl>
    <w:lvl w:ilvl="8" w:tplc="E654AEDE">
      <w:numFmt w:val="bullet"/>
      <w:lvlText w:val="•"/>
      <w:lvlJc w:val="left"/>
      <w:pPr>
        <w:ind w:left="9700" w:hanging="19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AF"/>
    <w:rsid w:val="00063386"/>
    <w:rsid w:val="000C1470"/>
    <w:rsid w:val="000C5FD1"/>
    <w:rsid w:val="000D47E3"/>
    <w:rsid w:val="00115956"/>
    <w:rsid w:val="0011640F"/>
    <w:rsid w:val="00123E80"/>
    <w:rsid w:val="001330B8"/>
    <w:rsid w:val="00157031"/>
    <w:rsid w:val="00192787"/>
    <w:rsid w:val="001C1A95"/>
    <w:rsid w:val="001F25CA"/>
    <w:rsid w:val="001F6C4F"/>
    <w:rsid w:val="00221D54"/>
    <w:rsid w:val="00227AE4"/>
    <w:rsid w:val="00227D4E"/>
    <w:rsid w:val="00263BE6"/>
    <w:rsid w:val="002E2EDA"/>
    <w:rsid w:val="002E7147"/>
    <w:rsid w:val="00307F9F"/>
    <w:rsid w:val="003120AA"/>
    <w:rsid w:val="00365F38"/>
    <w:rsid w:val="003B5537"/>
    <w:rsid w:val="003C6EFB"/>
    <w:rsid w:val="003F79F0"/>
    <w:rsid w:val="0043178E"/>
    <w:rsid w:val="00451D9E"/>
    <w:rsid w:val="00452CF7"/>
    <w:rsid w:val="00484272"/>
    <w:rsid w:val="00494412"/>
    <w:rsid w:val="004A33AF"/>
    <w:rsid w:val="00562CB2"/>
    <w:rsid w:val="00573016"/>
    <w:rsid w:val="005A2DB3"/>
    <w:rsid w:val="005A32D0"/>
    <w:rsid w:val="005A4ECC"/>
    <w:rsid w:val="00607527"/>
    <w:rsid w:val="0065081C"/>
    <w:rsid w:val="00657988"/>
    <w:rsid w:val="006D1E09"/>
    <w:rsid w:val="006E61AC"/>
    <w:rsid w:val="00705272"/>
    <w:rsid w:val="00711484"/>
    <w:rsid w:val="00714383"/>
    <w:rsid w:val="00735C1B"/>
    <w:rsid w:val="00742236"/>
    <w:rsid w:val="00746AAF"/>
    <w:rsid w:val="00771BBC"/>
    <w:rsid w:val="00795B6F"/>
    <w:rsid w:val="00797555"/>
    <w:rsid w:val="007A2BE5"/>
    <w:rsid w:val="007F2F7C"/>
    <w:rsid w:val="00801EEB"/>
    <w:rsid w:val="00823FF6"/>
    <w:rsid w:val="008A1537"/>
    <w:rsid w:val="008A2B08"/>
    <w:rsid w:val="00906139"/>
    <w:rsid w:val="00961EB6"/>
    <w:rsid w:val="00985897"/>
    <w:rsid w:val="00A11AFA"/>
    <w:rsid w:val="00A55847"/>
    <w:rsid w:val="00AA587B"/>
    <w:rsid w:val="00AD5417"/>
    <w:rsid w:val="00B151D3"/>
    <w:rsid w:val="00B67A85"/>
    <w:rsid w:val="00BC117D"/>
    <w:rsid w:val="00BF3220"/>
    <w:rsid w:val="00C16E38"/>
    <w:rsid w:val="00C515C2"/>
    <w:rsid w:val="00C90739"/>
    <w:rsid w:val="00C96083"/>
    <w:rsid w:val="00CB5D41"/>
    <w:rsid w:val="00D07A08"/>
    <w:rsid w:val="00D70B25"/>
    <w:rsid w:val="00DE04DD"/>
    <w:rsid w:val="00E15914"/>
    <w:rsid w:val="00E7569D"/>
    <w:rsid w:val="00E91C0B"/>
    <w:rsid w:val="00EC219F"/>
    <w:rsid w:val="00F12A3C"/>
    <w:rsid w:val="00F203D8"/>
    <w:rsid w:val="00F9574E"/>
    <w:rsid w:val="00FD11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796892-45FE-4E7C-A033-EE456101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280"/>
      <w:jc w:val="center"/>
      <w:outlineLvl w:val="0"/>
    </w:pPr>
    <w:rPr>
      <w:sz w:val="36"/>
      <w:szCs w:val="36"/>
    </w:rPr>
  </w:style>
  <w:style w:type="paragraph" w:styleId="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3"/>
      <w:ind w:left="2023" w:hanging="1983"/>
    </w:pPr>
    <w:rPr>
      <w:sz w:val="24"/>
      <w:szCs w:val="24"/>
    </w:rPr>
  </w:style>
  <w:style w:type="paragraph" w:styleId="a4">
    <w:name w:val="List Paragraph"/>
    <w:basedOn w:val="a"/>
    <w:uiPriority w:val="1"/>
    <w:qFormat/>
    <w:pPr>
      <w:spacing w:before="173"/>
      <w:ind w:left="2023" w:hanging="1983"/>
    </w:pPr>
  </w:style>
  <w:style w:type="paragraph" w:customStyle="1" w:styleId="TableParagraph">
    <w:name w:val="Table Paragraph"/>
    <w:basedOn w:val="a"/>
    <w:uiPriority w:val="1"/>
    <w:qFormat/>
  </w:style>
  <w:style w:type="paragraph" w:styleId="a5">
    <w:name w:val="header"/>
    <w:basedOn w:val="a"/>
    <w:link w:val="a6"/>
    <w:uiPriority w:val="99"/>
    <w:unhideWhenUsed/>
    <w:rsid w:val="00C515C2"/>
    <w:pPr>
      <w:tabs>
        <w:tab w:val="center" w:pos="4153"/>
        <w:tab w:val="right" w:pos="8306"/>
      </w:tabs>
      <w:snapToGrid w:val="0"/>
    </w:pPr>
    <w:rPr>
      <w:sz w:val="20"/>
      <w:szCs w:val="20"/>
    </w:rPr>
  </w:style>
  <w:style w:type="character" w:customStyle="1" w:styleId="a6">
    <w:name w:val="頁首 字元"/>
    <w:basedOn w:val="a0"/>
    <w:link w:val="a5"/>
    <w:uiPriority w:val="99"/>
    <w:rsid w:val="00C515C2"/>
    <w:rPr>
      <w:rFonts w:ascii="標楷體" w:eastAsia="標楷體" w:hAnsi="標楷體" w:cs="標楷體"/>
      <w:sz w:val="20"/>
      <w:szCs w:val="20"/>
    </w:rPr>
  </w:style>
  <w:style w:type="paragraph" w:styleId="a7">
    <w:name w:val="footer"/>
    <w:basedOn w:val="a"/>
    <w:link w:val="a8"/>
    <w:uiPriority w:val="99"/>
    <w:unhideWhenUsed/>
    <w:rsid w:val="00C515C2"/>
    <w:pPr>
      <w:tabs>
        <w:tab w:val="center" w:pos="4153"/>
        <w:tab w:val="right" w:pos="8306"/>
      </w:tabs>
      <w:snapToGrid w:val="0"/>
    </w:pPr>
    <w:rPr>
      <w:sz w:val="20"/>
      <w:szCs w:val="20"/>
    </w:rPr>
  </w:style>
  <w:style w:type="character" w:customStyle="1" w:styleId="a8">
    <w:name w:val="頁尾 字元"/>
    <w:basedOn w:val="a0"/>
    <w:link w:val="a7"/>
    <w:uiPriority w:val="99"/>
    <w:rsid w:val="00C515C2"/>
    <w:rPr>
      <w:rFonts w:ascii="標楷體" w:eastAsia="標楷體" w:hAnsi="標楷體" w:cs="標楷體"/>
      <w:sz w:val="20"/>
      <w:szCs w:val="20"/>
    </w:rPr>
  </w:style>
  <w:style w:type="table" w:styleId="a9">
    <w:name w:val="Table Grid"/>
    <w:basedOn w:val="a1"/>
    <w:uiPriority w:val="59"/>
    <w:rsid w:val="00B1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3B5537"/>
    <w:pPr>
      <w:spacing w:before="240" w:after="60"/>
      <w:jc w:val="center"/>
      <w:outlineLvl w:val="0"/>
    </w:pPr>
    <w:rPr>
      <w:rFonts w:asciiTheme="majorHAnsi" w:eastAsia="新細明體" w:hAnsiTheme="majorHAnsi" w:cstheme="majorBidi"/>
      <w:b/>
      <w:bCs/>
      <w:sz w:val="32"/>
      <w:szCs w:val="32"/>
    </w:rPr>
  </w:style>
  <w:style w:type="character" w:customStyle="1" w:styleId="ab">
    <w:name w:val="標題 字元"/>
    <w:basedOn w:val="a0"/>
    <w:link w:val="aa"/>
    <w:uiPriority w:val="10"/>
    <w:rsid w:val="003B5537"/>
    <w:rPr>
      <w:rFonts w:asciiTheme="majorHAnsi" w:eastAsia="新細明體" w:hAnsiTheme="majorHAnsi" w:cstheme="majorBidi"/>
      <w:b/>
      <w:bCs/>
      <w:sz w:val="32"/>
      <w:szCs w:val="32"/>
    </w:rPr>
  </w:style>
  <w:style w:type="character" w:styleId="ac">
    <w:name w:val="Hyperlink"/>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30CE-1B73-4D67-93C0-54960EB6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2121</Characters>
  <Application>Microsoft Office Word</Application>
  <DocSecurity>0</DocSecurity>
  <Lines>17</Lines>
  <Paragraphs>4</Paragraphs>
  <ScaleCrop>false</ScaleCrop>
  <Company>HP</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Ciiing Chiang</dc:creator>
  <cp:lastModifiedBy>陳思樺</cp:lastModifiedBy>
  <cp:revision>2</cp:revision>
  <dcterms:created xsi:type="dcterms:W3CDTF">2023-03-21T02:12:00Z</dcterms:created>
  <dcterms:modified xsi:type="dcterms:W3CDTF">2023-03-21T02:12:00Z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LastSaved">
    <vt:filetime>2017-10-25T00:00:00Z</vt:filetime>
  </property>
</Properties>
</file>